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05134FC6" w:rsidR="00F74C86" w:rsidRPr="00B255EF" w:rsidRDefault="008F7EA9" w:rsidP="00B255EF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B255EF" w:rsidRPr="00B255EF">
        <w:rPr>
          <w:rFonts w:ascii="Arial" w:hAnsi="Arial" w:cs="Arial"/>
          <w:b/>
        </w:rPr>
        <w:t>PZ.294.1346.2026</w:t>
      </w:r>
    </w:p>
    <w:p w14:paraId="2A5397C1" w14:textId="60148A74" w:rsidR="00F74C86" w:rsidRPr="00B255EF" w:rsidRDefault="00F74C86" w:rsidP="00B255EF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B255EF" w:rsidRPr="00B255EF">
        <w:rPr>
          <w:rFonts w:ascii="Arial" w:hAnsi="Arial" w:cs="Arial"/>
          <w:b/>
        </w:rPr>
        <w:t>0881/IZ18GM/00769/00773/26/P</w:t>
      </w:r>
    </w:p>
    <w:p w14:paraId="63F1951D" w14:textId="77777777" w:rsidR="004262EB" w:rsidRPr="003A6BA9" w:rsidRDefault="008F7EA9" w:rsidP="00B255EF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479F6C4E" w:rsidR="00257CD9" w:rsidRPr="008A3175" w:rsidRDefault="004262EB" w:rsidP="00B255EF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B255EF" w:rsidRPr="00B255EF">
        <w:rPr>
          <w:rFonts w:ascii="Arial" w:hAnsi="Arial" w:cs="Arial"/>
          <w:b/>
          <w:sz w:val="30"/>
          <w:szCs w:val="30"/>
        </w:rPr>
        <w:t>Dostawa ręczników frotte na rok 2026 dla pracowników Zakładu Linii kolejowych w Szczecinie</w:t>
      </w:r>
      <w:r w:rsidR="00B255EF">
        <w:rPr>
          <w:rFonts w:ascii="Arial" w:hAnsi="Arial" w:cs="Arial"/>
          <w:b/>
          <w:sz w:val="30"/>
          <w:szCs w:val="30"/>
        </w:rPr>
        <w:t>.</w:t>
      </w:r>
      <w:r w:rsidR="00F102EE">
        <w:rPr>
          <w:rFonts w:ascii="Arial" w:hAnsi="Arial" w:cs="Arial"/>
          <w:b/>
          <w:sz w:val="30"/>
          <w:szCs w:val="30"/>
        </w:rPr>
        <w:t>”</w:t>
      </w:r>
    </w:p>
    <w:p w14:paraId="7CF6B5B9" w14:textId="77777777" w:rsidR="004262EB" w:rsidRPr="00307751" w:rsidRDefault="004262EB" w:rsidP="00B255EF">
      <w:pPr>
        <w:pStyle w:val="Akapitzlist"/>
        <w:spacing w:before="120" w:after="120" w:line="360" w:lineRule="auto"/>
        <w:ind w:left="-142"/>
        <w:contextualSpacing w:val="0"/>
        <w:jc w:val="both"/>
        <w:rPr>
          <w:rFonts w:ascii="Arial" w:hAnsi="Arial" w:cs="Arial"/>
        </w:rPr>
      </w:pPr>
    </w:p>
    <w:p w14:paraId="1FA68055" w14:textId="77777777" w:rsidR="00676206" w:rsidRPr="00307751" w:rsidRDefault="00973D8E" w:rsidP="00B255E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 w:rsidP="002C42CC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B255EF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623B6FB2" w14:textId="77777777" w:rsidR="00B255EF" w:rsidRDefault="00676206" w:rsidP="002C42CC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255EF">
        <w:rPr>
          <w:rFonts w:ascii="Arial" w:hAnsi="Arial" w:cs="Arial"/>
        </w:rPr>
        <w:t>ofertowego otwartego</w:t>
      </w:r>
      <w:r w:rsidR="00B255EF" w:rsidRPr="00B255EF">
        <w:rPr>
          <w:rFonts w:ascii="Arial" w:hAnsi="Arial" w:cs="Arial"/>
        </w:rPr>
        <w:t>.</w:t>
      </w:r>
    </w:p>
    <w:p w14:paraId="186C678C" w14:textId="77777777" w:rsidR="00B255EF" w:rsidRDefault="00B255EF" w:rsidP="002C42CC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5EF">
        <w:rPr>
          <w:rFonts w:ascii="Arial" w:hAnsi="Arial" w:cs="Arial"/>
        </w:rPr>
        <w:t>Zamawiający dopuszcza udział w Postępowaniu zakupowym Wykonawców wspólnie ubiegających się o udzielenie Zamówienia (konsorcjum). Wykonawcy występujący wspólnie w Postępowaniu zobligowani są ustanowić pełnomocnika do reprezentowania ich w Postępowaniu zakupowym. Pełnomocnictwo należy złożyć wraz z ofertą.</w:t>
      </w:r>
    </w:p>
    <w:p w14:paraId="276337BA" w14:textId="77777777" w:rsidR="00B255EF" w:rsidRDefault="00B255EF" w:rsidP="002C42CC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5EF">
        <w:rPr>
          <w:rFonts w:ascii="Arial" w:hAnsi="Arial" w:cs="Arial"/>
        </w:rPr>
        <w:t>Wykonawca zobowiązany jest do zachowania w poufności wszelkich informacji prawnie chronionych uzyskanych w trakcie negocjacji oraz w trakcie realizacji umowy.</w:t>
      </w:r>
    </w:p>
    <w:p w14:paraId="41E64924" w14:textId="12EA8B73" w:rsidR="00B255EF" w:rsidRPr="00B255EF" w:rsidRDefault="00B255EF" w:rsidP="002C42CC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5EF">
        <w:rPr>
          <w:rFonts w:ascii="Arial" w:hAnsi="Arial" w:cs="Arial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35B43B74" w14:textId="77777777" w:rsidR="00C7712F" w:rsidRPr="00307751" w:rsidRDefault="00676206" w:rsidP="00B255E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04E66C11" w:rsidR="00B2566D" w:rsidRPr="00B255EF" w:rsidRDefault="008A3175" w:rsidP="002C42CC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Przedmiotem zamówienia jest </w:t>
      </w:r>
      <w:r w:rsidR="00B255EF" w:rsidRPr="00B255EF">
        <w:rPr>
          <w:rFonts w:ascii="Arial" w:hAnsi="Arial" w:cs="Arial"/>
          <w:b/>
          <w:bCs/>
        </w:rPr>
        <w:t>„</w:t>
      </w:r>
      <w:r w:rsidR="00B255EF" w:rsidRPr="00B255EF">
        <w:rPr>
          <w:rFonts w:ascii="Arial" w:hAnsi="Arial" w:cs="Arial"/>
          <w:b/>
          <w:bCs/>
        </w:rPr>
        <w:t>Dostawa ręczników frotte na rok 2026 dla pracowników Zakładu Linii kolejowych w Szczecinie</w:t>
      </w:r>
      <w:r w:rsidR="00CA7025" w:rsidRPr="00B255EF">
        <w:rPr>
          <w:rFonts w:ascii="Arial" w:hAnsi="Arial" w:cs="Arial"/>
          <w:b/>
          <w:bCs/>
        </w:rPr>
        <w:t>.</w:t>
      </w:r>
      <w:r w:rsidR="00B255EF" w:rsidRPr="00B255EF">
        <w:rPr>
          <w:rFonts w:ascii="Arial" w:hAnsi="Arial" w:cs="Arial"/>
          <w:b/>
          <w:bCs/>
        </w:rPr>
        <w:t>”</w:t>
      </w:r>
      <w:r w:rsidR="00B255EF">
        <w:rPr>
          <w:rFonts w:ascii="Arial" w:hAnsi="Arial" w:cs="Arial"/>
        </w:rPr>
        <w:t xml:space="preserve"> wraz z transportem do miejsc wskazanych przez Zamawiającego w Opisie Przedmiotu Zamówienia (dalej: „</w:t>
      </w:r>
      <w:r w:rsidR="00B255EF" w:rsidRPr="00B255EF">
        <w:rPr>
          <w:rFonts w:ascii="Arial" w:hAnsi="Arial" w:cs="Arial"/>
          <w:b/>
          <w:bCs/>
        </w:rPr>
        <w:t>OPZ</w:t>
      </w:r>
      <w:r w:rsidR="00B255EF">
        <w:rPr>
          <w:rFonts w:ascii="Arial" w:hAnsi="Arial" w:cs="Arial"/>
        </w:rPr>
        <w:t>”)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B255EF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</w:t>
      </w:r>
      <w:r w:rsidR="00A8660F" w:rsidRPr="00B255EF">
        <w:rPr>
          <w:rFonts w:ascii="Arial" w:hAnsi="Arial" w:cs="Arial"/>
          <w:b/>
          <w:bCs/>
        </w:rPr>
        <w:t xml:space="preserve">Załącznik nr </w:t>
      </w:r>
      <w:r w:rsidR="00B255EF" w:rsidRPr="00B255EF">
        <w:rPr>
          <w:rFonts w:ascii="Arial" w:hAnsi="Arial" w:cs="Arial"/>
          <w:b/>
          <w:bCs/>
        </w:rPr>
        <w:t>1</w:t>
      </w:r>
      <w:r w:rsidRPr="00B255EF">
        <w:rPr>
          <w:rFonts w:ascii="Arial" w:hAnsi="Arial" w:cs="Arial"/>
          <w:b/>
          <w:bCs/>
        </w:rPr>
        <w:t xml:space="preserve"> do Informacji o postępowaniu</w:t>
      </w:r>
      <w:r w:rsidR="00963D20" w:rsidRPr="00B255EF">
        <w:rPr>
          <w:rFonts w:ascii="Arial" w:hAnsi="Arial" w:cs="Arial"/>
          <w:b/>
          <w:bCs/>
        </w:rPr>
        <w:t>.</w:t>
      </w:r>
    </w:p>
    <w:p w14:paraId="2D8EC406" w14:textId="095C86C8" w:rsidR="00CA536D" w:rsidRDefault="00147903" w:rsidP="002C42CC">
      <w:pPr>
        <w:pStyle w:val="Akapitzlist"/>
        <w:numPr>
          <w:ilvl w:val="0"/>
          <w:numId w:val="39"/>
        </w:numPr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  <w:b/>
          <w:bCs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B255EF" w:rsidRPr="00B255EF">
        <w:rPr>
          <w:rFonts w:ascii="Arial" w:hAnsi="Arial" w:cs="Arial"/>
          <w:b/>
          <w:bCs/>
        </w:rPr>
        <w:t>14 dni kalendarzowych od przesłania zamówienia drogą elektroniczną.</w:t>
      </w:r>
    </w:p>
    <w:p w14:paraId="573E683F" w14:textId="77777777" w:rsidR="003A0FC0" w:rsidRPr="003A0FC0" w:rsidRDefault="003A0FC0" w:rsidP="002C42CC">
      <w:pPr>
        <w:pStyle w:val="Akapitzlist"/>
        <w:numPr>
          <w:ilvl w:val="0"/>
          <w:numId w:val="39"/>
        </w:numPr>
        <w:spacing w:before="120" w:after="120" w:line="276" w:lineRule="auto"/>
        <w:jc w:val="both"/>
        <w:rPr>
          <w:rFonts w:ascii="Arial" w:hAnsi="Arial" w:cs="Arial"/>
        </w:rPr>
      </w:pPr>
      <w:r w:rsidRPr="003A0FC0">
        <w:rPr>
          <w:rFonts w:ascii="Arial" w:hAnsi="Arial" w:cs="Arial"/>
        </w:rPr>
        <w:t>Przedmiot Zamówienia nie jest podzielony na części.</w:t>
      </w:r>
    </w:p>
    <w:p w14:paraId="10320CF6" w14:textId="77777777" w:rsidR="003A0FC0" w:rsidRPr="003A0FC0" w:rsidRDefault="003A0FC0" w:rsidP="002C42CC">
      <w:pPr>
        <w:pStyle w:val="Akapitzlist"/>
        <w:numPr>
          <w:ilvl w:val="0"/>
          <w:numId w:val="39"/>
        </w:numPr>
        <w:spacing w:before="120" w:after="120" w:line="276" w:lineRule="auto"/>
        <w:jc w:val="both"/>
        <w:rPr>
          <w:rFonts w:ascii="Arial" w:hAnsi="Arial" w:cs="Arial"/>
        </w:rPr>
      </w:pPr>
      <w:r w:rsidRPr="003A0FC0">
        <w:rPr>
          <w:rFonts w:ascii="Arial" w:hAnsi="Arial" w:cs="Arial"/>
        </w:rPr>
        <w:t xml:space="preserve">Zamawiający nie dopuszcza możliwość składania ofert częściowych. </w:t>
      </w:r>
    </w:p>
    <w:p w14:paraId="6B27E533" w14:textId="77777777" w:rsidR="003A0FC0" w:rsidRPr="003A0FC0" w:rsidRDefault="003A0FC0" w:rsidP="002C42CC">
      <w:pPr>
        <w:pStyle w:val="Akapitzlist"/>
        <w:numPr>
          <w:ilvl w:val="0"/>
          <w:numId w:val="39"/>
        </w:numPr>
        <w:spacing w:before="120" w:after="120" w:line="276" w:lineRule="auto"/>
        <w:jc w:val="both"/>
        <w:rPr>
          <w:rFonts w:ascii="Arial" w:hAnsi="Arial" w:cs="Arial"/>
        </w:rPr>
      </w:pPr>
      <w:r w:rsidRPr="003A0FC0">
        <w:rPr>
          <w:rFonts w:ascii="Arial" w:hAnsi="Arial" w:cs="Arial"/>
        </w:rPr>
        <w:t>Zamawiający nie przewiduje udzielenia zamówień, o których mowa w § 19 ust. 2 pkt 7 Regulaminu polegających na powtórzeniu tego samego rodzaju zamówień.</w:t>
      </w:r>
    </w:p>
    <w:p w14:paraId="7490B954" w14:textId="2990BD5D" w:rsidR="003A0FC0" w:rsidRPr="003A0FC0" w:rsidRDefault="003A0FC0" w:rsidP="002C42CC">
      <w:pPr>
        <w:pStyle w:val="Akapitzlist"/>
        <w:numPr>
          <w:ilvl w:val="0"/>
          <w:numId w:val="39"/>
        </w:numPr>
        <w:spacing w:before="120" w:after="120" w:line="276" w:lineRule="auto"/>
        <w:jc w:val="both"/>
        <w:rPr>
          <w:rFonts w:ascii="Arial" w:hAnsi="Arial" w:cs="Arial"/>
        </w:rPr>
      </w:pPr>
      <w:r w:rsidRPr="003A0FC0">
        <w:rPr>
          <w:rFonts w:ascii="Arial" w:hAnsi="Arial" w:cs="Arial"/>
        </w:rPr>
        <w:t xml:space="preserve">Zamawiający nie wyraża zgody na powierzenie podwykonawcom realizacji </w:t>
      </w:r>
      <w:r>
        <w:rPr>
          <w:rFonts w:ascii="Arial" w:hAnsi="Arial" w:cs="Arial"/>
        </w:rPr>
        <w:t xml:space="preserve">całości przedmiotu </w:t>
      </w:r>
      <w:r w:rsidRPr="003A0FC0">
        <w:rPr>
          <w:rFonts w:ascii="Arial" w:hAnsi="Arial" w:cs="Arial"/>
        </w:rPr>
        <w:t>zamówienia.</w:t>
      </w:r>
    </w:p>
    <w:p w14:paraId="436BA332" w14:textId="7926845F" w:rsidR="003A0FC0" w:rsidRDefault="003A0FC0" w:rsidP="002C42CC">
      <w:pPr>
        <w:pStyle w:val="Akapitzlist"/>
        <w:numPr>
          <w:ilvl w:val="0"/>
          <w:numId w:val="39"/>
        </w:numPr>
        <w:spacing w:before="120" w:after="120" w:line="276" w:lineRule="auto"/>
        <w:jc w:val="both"/>
        <w:rPr>
          <w:rFonts w:ascii="Arial" w:hAnsi="Arial" w:cs="Arial"/>
        </w:rPr>
      </w:pPr>
      <w:r w:rsidRPr="003A0FC0">
        <w:rPr>
          <w:rFonts w:ascii="Arial" w:hAnsi="Arial" w:cs="Arial"/>
        </w:rPr>
        <w:lastRenderedPageBreak/>
        <w:t>Zamawiający żąda wskazania przez Wykonawcę w oświadczeniu o akceptacji warunków zamówienia, których wykonanie zamierza powierzyć podwykonawcom.</w:t>
      </w:r>
    </w:p>
    <w:p w14:paraId="05F4F8DB" w14:textId="77777777" w:rsidR="000D72AD" w:rsidRPr="000D72AD" w:rsidRDefault="000D72AD" w:rsidP="002C42CC">
      <w:pPr>
        <w:pStyle w:val="Akapitzlist"/>
        <w:spacing w:before="120" w:after="120" w:line="276" w:lineRule="auto"/>
        <w:ind w:left="644"/>
        <w:jc w:val="both"/>
        <w:rPr>
          <w:rFonts w:ascii="Arial" w:hAnsi="Arial" w:cs="Arial"/>
        </w:rPr>
      </w:pPr>
    </w:p>
    <w:p w14:paraId="5902EABA" w14:textId="77777777" w:rsidR="008A3175" w:rsidRDefault="008A3175" w:rsidP="00B255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DB7BA4D" w14:textId="77777777" w:rsidR="00E35BE3" w:rsidRPr="00893FB7" w:rsidRDefault="00E35BE3" w:rsidP="002C42CC">
      <w:pPr>
        <w:pStyle w:val="Akapitzlist"/>
        <w:numPr>
          <w:ilvl w:val="0"/>
          <w:numId w:val="54"/>
        </w:numPr>
        <w:suppressAutoHyphens/>
        <w:spacing w:before="120" w:after="0" w:line="276" w:lineRule="auto"/>
        <w:ind w:left="643"/>
        <w:jc w:val="both"/>
        <w:rPr>
          <w:rFonts w:ascii="Arial" w:eastAsia="Batang" w:hAnsi="Arial" w:cs="Arial"/>
          <w:lang w:eastAsia="ar-SA"/>
        </w:rPr>
      </w:pPr>
      <w:r w:rsidRPr="00893FB7">
        <w:rPr>
          <w:rFonts w:ascii="Arial" w:eastAsia="Batang" w:hAnsi="Arial" w:cs="Arial"/>
          <w:lang w:eastAsia="ar-SA"/>
        </w:rPr>
        <w:t>O udzielenie Zamówienia może ubiegać się Wykonawca, który:</w:t>
      </w:r>
    </w:p>
    <w:p w14:paraId="5C72CD0D" w14:textId="77777777" w:rsidR="00E35BE3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posiada zdolność do występowania w obrocie gospodarczym;</w:t>
      </w:r>
    </w:p>
    <w:p w14:paraId="3B314497" w14:textId="77777777" w:rsidR="00E35BE3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893FB7">
        <w:rPr>
          <w:rFonts w:ascii="Arial" w:eastAsia="Batang" w:hAnsi="Arial" w:cs="Arial"/>
          <w:lang w:eastAsia="ar-SA"/>
        </w:rPr>
        <w:t>posiada uprawnienia do prowadzenia określonej działalności gospodarczej lub zawodowej, o ile wynika to z odrębnych przepisów;</w:t>
      </w:r>
    </w:p>
    <w:p w14:paraId="6C2118AA" w14:textId="77777777" w:rsidR="00E35BE3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893FB7">
        <w:rPr>
          <w:rFonts w:ascii="Arial" w:eastAsia="Batang" w:hAnsi="Arial" w:cs="Arial"/>
          <w:lang w:eastAsia="ar-SA"/>
        </w:rPr>
        <w:t>znajduje się w sytuacji ekonomicznej lub finansowej zapewniającej wykonanie Zamówienia;</w:t>
      </w:r>
    </w:p>
    <w:p w14:paraId="4CBC1A5B" w14:textId="77777777" w:rsidR="00E35BE3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893FB7">
        <w:rPr>
          <w:rFonts w:ascii="Arial" w:eastAsia="Batang" w:hAnsi="Arial" w:cs="Arial"/>
          <w:lang w:eastAsia="ar-SA"/>
        </w:rPr>
        <w:t>posiada zdolność techniczną lub zawodową do wykonania Zamówienia;</w:t>
      </w:r>
    </w:p>
    <w:p w14:paraId="674C04C6" w14:textId="77777777" w:rsidR="00E35BE3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893FB7" w:rsidDel="00772AA8">
        <w:rPr>
          <w:rFonts w:ascii="Arial" w:eastAsia="Batang" w:hAnsi="Arial" w:cs="Arial"/>
          <w:lang w:eastAsia="ar-SA"/>
        </w:rPr>
        <w:t>którego oferta nie podlega odrzuceniu na podstawie §30 ust. 1 Regulaminu</w:t>
      </w:r>
      <w:r w:rsidRPr="00893FB7">
        <w:rPr>
          <w:rFonts w:ascii="Arial" w:eastAsia="Batang" w:hAnsi="Arial" w:cs="Arial"/>
          <w:lang w:eastAsia="ar-SA"/>
        </w:rPr>
        <w:t xml:space="preserve"> udzielania zamówień logistycznych przez PKP PLK S.A.;</w:t>
      </w:r>
    </w:p>
    <w:p w14:paraId="6A601976" w14:textId="77777777" w:rsidR="00E35BE3" w:rsidRPr="00893FB7" w:rsidRDefault="00E35BE3" w:rsidP="002C42CC">
      <w:pPr>
        <w:numPr>
          <w:ilvl w:val="0"/>
          <w:numId w:val="53"/>
        </w:numPr>
        <w:tabs>
          <w:tab w:val="num" w:pos="709"/>
        </w:tabs>
        <w:suppressAutoHyphens/>
        <w:spacing w:after="0" w:line="276" w:lineRule="auto"/>
        <w:ind w:left="283"/>
        <w:jc w:val="both"/>
        <w:rPr>
          <w:rFonts w:ascii="Arial" w:eastAsia="Batang" w:hAnsi="Arial" w:cs="Arial"/>
          <w:lang w:eastAsia="ar-SA"/>
        </w:rPr>
      </w:pPr>
      <w:r w:rsidRPr="00893FB7">
        <w:rPr>
          <w:rFonts w:ascii="Arial" w:eastAsia="Batang" w:hAnsi="Arial" w:cs="Arial"/>
          <w:lang w:eastAsia="ar-SA"/>
        </w:rPr>
        <w:t xml:space="preserve">którego oferta nie podlega odrzuceniu na podstawie §30 ust. 2 Regulaminu udzielania zamówień logistycznych przez PKP PLK S.A. w odniesieniu do następujących przesłanek: </w:t>
      </w:r>
    </w:p>
    <w:p w14:paraId="03BDB58A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1) Wykonawca będący osobą fizyczną został prawomocnie skazany za przestępstwo:</w:t>
      </w:r>
    </w:p>
    <w:p w14:paraId="1FEA114D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a) udziału w zorganizowanej grupie przestępczej albo związku mającym na celu popełnienie przestępstwa lub przestępstwa skarbowego, o którym mowa w art. 258 Kodeksu karnego,</w:t>
      </w:r>
    </w:p>
    <w:p w14:paraId="71A68A37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b) handlu ludźmi, o którym mowa w art. 189a Kodeksu karnego,</w:t>
      </w:r>
    </w:p>
    <w:p w14:paraId="1D11589E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c) o którym mowa w art. 228–230a, art. 250a Kodeksu karnego lub w art. 46 lub art. 48 ustawy z dnia 25 czerwca 2010 r. o sporcie,</w:t>
      </w:r>
    </w:p>
    <w:p w14:paraId="3D8169F5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8CABD90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e) o charakterze terrorystycznym, o którym mowa w art. 115 § 20 Kodeksu karnego, lub mające na celu popełnienie tego przestępstwa,</w:t>
      </w:r>
    </w:p>
    <w:p w14:paraId="04D703D3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7BA6635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4EFCDB4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0EB3530D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– lub za odpowiedni czyn zabroniony określony w przepisach prawa obcego;</w:t>
      </w:r>
    </w:p>
    <w:p w14:paraId="1085D957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2) 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pkt 1;</w:t>
      </w:r>
    </w:p>
    <w:p w14:paraId="79EF9A3F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 xml:space="preserve">3) który naruszył obowiązki dotyczące płatności podatków, opłat lub składek na ubezpieczenia społeczne lub zdrowotne, chyba że wykonawca odpowiednio przed upływem terminu do składania wniosków o dopuszczenie do udziału w postępowaniu albo </w:t>
      </w:r>
      <w:r w:rsidRPr="00A40AD6">
        <w:rPr>
          <w:rFonts w:ascii="Arial" w:eastAsia="Batang" w:hAnsi="Arial" w:cs="Arial"/>
          <w:lang w:eastAsia="ar-SA"/>
        </w:rPr>
        <w:lastRenderedPageBreak/>
        <w:t>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77FD5333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4) 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Wykonawcy;</w:t>
      </w:r>
    </w:p>
    <w:p w14:paraId="4C6DD685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5) została złożona przez Wykonawcę wobec którego prawomocnie orzeczono zakaz ubiegania się o zamówienia publiczne;</w:t>
      </w:r>
    </w:p>
    <w:p w14:paraId="2CCB840F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6) 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69601D4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7) 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13D0D558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8) Wykonawca, który w okresie ostatnich 2 lat przed wszczęciem Postępowania zakupowego odmówił podpisania Umowy zakupowej lub ramowej lub zrealizowania wystawionego Zamówienia na warunkach określonych w złożonej ofercie;</w:t>
      </w:r>
    </w:p>
    <w:p w14:paraId="4D9554B4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9) Wykonawca, który nie uzyskał akceptacji Zamawiającego na etapie negocjacji, zaproponowanych podwykonawców (dotyczy Spółek zależnych) na Usługi utrzymania lub Roboty budowlane z wyłączeniem Nawierzchniowych prac punktowych.</w:t>
      </w:r>
    </w:p>
    <w:p w14:paraId="74DF5F05" w14:textId="77777777" w:rsidR="00E35BE3" w:rsidRDefault="00E35BE3" w:rsidP="002C42CC">
      <w:pPr>
        <w:numPr>
          <w:ilvl w:val="0"/>
          <w:numId w:val="53"/>
        </w:numPr>
        <w:tabs>
          <w:tab w:val="num" w:pos="567"/>
          <w:tab w:val="num" w:pos="709"/>
        </w:tabs>
        <w:suppressAutoHyphens/>
        <w:spacing w:after="0" w:line="276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A40AD6">
        <w:rPr>
          <w:rFonts w:ascii="Arial" w:eastAsia="Batang" w:hAnsi="Arial" w:cs="Arial"/>
          <w:lang w:eastAsia="ar-SA"/>
        </w:rPr>
        <w:t>który nie podlega wykluczeniu z postępowania na podstawie ustawy z dnia 13 kwietnia 2022 r. o szczególnych rozwiązaniach w zakresie przeciwdziałania wspieraniu agresji na Ukrainę oraz służących ochronie bezpieczeństwa narodowego (t. j. Dz. U. z 2024 r., poz. 507).</w:t>
      </w:r>
    </w:p>
    <w:p w14:paraId="384D36A8" w14:textId="77777777" w:rsidR="00E35BE3" w:rsidRPr="00A40AD6" w:rsidRDefault="00E35BE3" w:rsidP="002C42CC">
      <w:pPr>
        <w:tabs>
          <w:tab w:val="num" w:pos="709"/>
        </w:tabs>
        <w:suppressAutoHyphens/>
        <w:spacing w:after="0" w:line="276" w:lineRule="auto"/>
        <w:ind w:left="709"/>
        <w:jc w:val="both"/>
        <w:rPr>
          <w:rFonts w:ascii="Arial" w:eastAsia="Batang" w:hAnsi="Arial" w:cs="Arial"/>
          <w:lang w:eastAsia="ar-SA"/>
        </w:rPr>
      </w:pPr>
    </w:p>
    <w:p w14:paraId="05369DFB" w14:textId="77777777" w:rsidR="00E35BE3" w:rsidRPr="00893FB7" w:rsidRDefault="00E35BE3" w:rsidP="002C42CC">
      <w:pPr>
        <w:pStyle w:val="Akapitzlist"/>
        <w:numPr>
          <w:ilvl w:val="0"/>
          <w:numId w:val="54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893FB7">
        <w:rPr>
          <w:rFonts w:ascii="Arial" w:hAnsi="Arial" w:cs="Arial"/>
          <w:b/>
          <w:bCs/>
        </w:rPr>
        <w:t>Zamawiający nie stawia szczegółowych warunków udziału w postępowaniu.</w:t>
      </w:r>
    </w:p>
    <w:p w14:paraId="25080E8F" w14:textId="77777777" w:rsidR="004262EB" w:rsidRPr="00307751" w:rsidRDefault="004262EB" w:rsidP="00B255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2C42CC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2C42CC">
      <w:pPr>
        <w:pStyle w:val="Akapitzlist"/>
        <w:numPr>
          <w:ilvl w:val="0"/>
          <w:numId w:val="46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  <w:b/>
          <w:bCs/>
        </w:rPr>
        <w:t>aktualny odpis lub informację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11B9D0FA" w:rsidR="00F74C86" w:rsidRPr="00077F75" w:rsidRDefault="00F74C86" w:rsidP="002C42CC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077F75">
        <w:rPr>
          <w:rFonts w:ascii="Arial" w:hAnsi="Arial" w:cs="Arial"/>
          <w:b/>
          <w:bCs/>
        </w:rPr>
        <w:t>pełnomocnictwo</w:t>
      </w:r>
      <w:r w:rsidRPr="00433244">
        <w:rPr>
          <w:rFonts w:ascii="Arial" w:hAnsi="Arial" w:cs="Arial"/>
        </w:rPr>
        <w:t xml:space="preserve">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</w:t>
      </w:r>
      <w:r w:rsidR="0031279D" w:rsidRPr="002C42CC">
        <w:rPr>
          <w:rFonts w:ascii="Arial" w:hAnsi="Arial" w:cs="Arial"/>
          <w:b/>
          <w:bCs/>
        </w:rPr>
        <w:t xml:space="preserve">w </w:t>
      </w:r>
      <w:r w:rsidR="002B4B44" w:rsidRPr="002C42CC">
        <w:rPr>
          <w:rFonts w:ascii="Arial" w:hAnsi="Arial" w:cs="Arial"/>
          <w:b/>
          <w:bCs/>
        </w:rPr>
        <w:t>pkt 6</w:t>
      </w:r>
      <w:r w:rsidR="002B4B44">
        <w:rPr>
          <w:rFonts w:ascii="Arial" w:hAnsi="Arial" w:cs="Arial"/>
        </w:rPr>
        <w:t xml:space="preserve"> </w:t>
      </w:r>
      <w:r w:rsidR="0031279D" w:rsidRPr="002C42CC">
        <w:rPr>
          <w:rFonts w:ascii="Arial" w:hAnsi="Arial" w:cs="Arial"/>
          <w:b/>
          <w:bCs/>
        </w:rPr>
        <w:t>Oświadczeni</w:t>
      </w:r>
      <w:r w:rsidR="002B4B44" w:rsidRPr="002C42CC">
        <w:rPr>
          <w:rFonts w:ascii="Arial" w:hAnsi="Arial" w:cs="Arial"/>
          <w:b/>
          <w:bCs/>
        </w:rPr>
        <w:t>a</w:t>
      </w:r>
      <w:r w:rsidR="0031279D" w:rsidRPr="002C42CC">
        <w:rPr>
          <w:rFonts w:ascii="Arial" w:hAnsi="Arial" w:cs="Arial"/>
          <w:b/>
          <w:bCs/>
        </w:rPr>
        <w:t xml:space="preserve"> o akceptacji warunków zamówienia</w:t>
      </w:r>
      <w:r w:rsidR="002B4B44" w:rsidRPr="002C42CC">
        <w:rPr>
          <w:rFonts w:ascii="Arial" w:hAnsi="Arial" w:cs="Arial"/>
          <w:b/>
          <w:bCs/>
        </w:rPr>
        <w:t>, którego wzór stanowi</w:t>
      </w:r>
      <w:r w:rsidR="002B4B44">
        <w:rPr>
          <w:rFonts w:ascii="Arial" w:hAnsi="Arial" w:cs="Arial"/>
        </w:rPr>
        <w:t xml:space="preserve"> </w:t>
      </w:r>
      <w:r w:rsidR="002B4B44" w:rsidRPr="00077F75">
        <w:rPr>
          <w:rFonts w:ascii="Arial" w:hAnsi="Arial" w:cs="Arial"/>
          <w:b/>
          <w:bCs/>
        </w:rPr>
        <w:t xml:space="preserve">Załącznik nr </w:t>
      </w:r>
      <w:r w:rsidR="007A439B">
        <w:rPr>
          <w:rFonts w:ascii="Arial" w:hAnsi="Arial" w:cs="Arial"/>
          <w:b/>
          <w:bCs/>
        </w:rPr>
        <w:t>3</w:t>
      </w:r>
      <w:r w:rsidR="002B4B44" w:rsidRPr="00077F75">
        <w:rPr>
          <w:rFonts w:ascii="Arial" w:hAnsi="Arial" w:cs="Arial"/>
          <w:b/>
          <w:bCs/>
        </w:rPr>
        <w:t xml:space="preserve"> do Informacji o postępowaniu</w:t>
      </w:r>
      <w:r w:rsidRPr="00077F75">
        <w:rPr>
          <w:rFonts w:ascii="Arial" w:hAnsi="Arial" w:cs="Arial"/>
          <w:b/>
          <w:bCs/>
        </w:rPr>
        <w:t>;</w:t>
      </w:r>
    </w:p>
    <w:p w14:paraId="0463FA6E" w14:textId="4783F626" w:rsidR="008A3175" w:rsidRDefault="000C635F" w:rsidP="002C42CC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</w:rPr>
      </w:pPr>
      <w:r w:rsidRPr="00077F75">
        <w:rPr>
          <w:rFonts w:ascii="Arial" w:hAnsi="Arial" w:cs="Arial"/>
          <w:b/>
          <w:bCs/>
        </w:rPr>
        <w:t>oświadczenie o niepodleganiu wykluczeniu</w:t>
      </w:r>
      <w:r w:rsidRPr="00F74C86">
        <w:rPr>
          <w:rFonts w:ascii="Arial" w:hAnsi="Arial" w:cs="Arial"/>
        </w:rPr>
        <w:t xml:space="preserve">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A439B">
        <w:rPr>
          <w:rFonts w:ascii="Arial" w:hAnsi="Arial" w:cs="Arial"/>
          <w:b/>
          <w:bCs/>
        </w:rPr>
        <w:t>Załącznik nr</w:t>
      </w:r>
      <w:r w:rsidR="00661EFA" w:rsidRPr="007A439B">
        <w:rPr>
          <w:rFonts w:ascii="Arial" w:hAnsi="Arial" w:cs="Arial"/>
          <w:b/>
          <w:bCs/>
        </w:rPr>
        <w:t xml:space="preserve"> </w:t>
      </w:r>
      <w:r w:rsidR="007A439B" w:rsidRPr="007A439B">
        <w:rPr>
          <w:rFonts w:ascii="Arial" w:hAnsi="Arial" w:cs="Arial"/>
          <w:b/>
          <w:bCs/>
        </w:rPr>
        <w:t>2</w:t>
      </w:r>
      <w:r w:rsidR="007A298B" w:rsidRPr="007A439B">
        <w:rPr>
          <w:rFonts w:ascii="Arial" w:hAnsi="Arial" w:cs="Arial"/>
          <w:b/>
          <w:bCs/>
        </w:rPr>
        <w:t xml:space="preserve"> do Informacji o postępowaniu</w:t>
      </w:r>
      <w:r w:rsidR="007A439B">
        <w:rPr>
          <w:rFonts w:ascii="Arial" w:hAnsi="Arial" w:cs="Arial"/>
          <w:b/>
          <w:bCs/>
        </w:rPr>
        <w:t>;</w:t>
      </w:r>
    </w:p>
    <w:p w14:paraId="2A7F8207" w14:textId="6C3B6F21" w:rsidR="00BA11CC" w:rsidRPr="007A439B" w:rsidRDefault="00077F75" w:rsidP="002C42CC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o</w:t>
      </w:r>
      <w:r w:rsidR="00BA11CC" w:rsidRPr="00077F75">
        <w:rPr>
          <w:rFonts w:ascii="Arial" w:hAnsi="Arial" w:cs="Arial"/>
          <w:b/>
          <w:bCs/>
        </w:rPr>
        <w:t xml:space="preserve">świadczenie </w:t>
      </w:r>
      <w:r w:rsidR="0031279D" w:rsidRPr="00077F75">
        <w:rPr>
          <w:rFonts w:ascii="Arial" w:hAnsi="Arial" w:cs="Arial"/>
          <w:b/>
          <w:bCs/>
        </w:rPr>
        <w:t>o akceptacji warunków zamówienia</w:t>
      </w:r>
      <w:r w:rsidR="0031279D">
        <w:rPr>
          <w:rFonts w:ascii="Arial" w:hAnsi="Arial" w:cs="Arial"/>
        </w:rPr>
        <w:t xml:space="preserve">, zgodne ze wzorem stanowiącym </w:t>
      </w:r>
      <w:r w:rsidR="0031279D" w:rsidRPr="007A439B">
        <w:rPr>
          <w:rFonts w:ascii="Arial" w:hAnsi="Arial" w:cs="Arial"/>
          <w:b/>
          <w:bCs/>
        </w:rPr>
        <w:t xml:space="preserve">Załącznik nr </w:t>
      </w:r>
      <w:r w:rsidR="007A439B" w:rsidRPr="007A439B">
        <w:rPr>
          <w:rFonts w:ascii="Arial" w:hAnsi="Arial" w:cs="Arial"/>
          <w:b/>
          <w:bCs/>
        </w:rPr>
        <w:t>3</w:t>
      </w:r>
      <w:r w:rsidR="0031279D" w:rsidRPr="007A439B">
        <w:rPr>
          <w:rFonts w:ascii="Arial" w:hAnsi="Arial" w:cs="Arial"/>
          <w:b/>
          <w:bCs/>
        </w:rPr>
        <w:t xml:space="preserve"> do Informacji o postępowaniu</w:t>
      </w:r>
      <w:r w:rsidR="007A439B">
        <w:rPr>
          <w:rFonts w:ascii="Arial" w:hAnsi="Arial" w:cs="Arial"/>
          <w:b/>
          <w:bCs/>
        </w:rPr>
        <w:t>;</w:t>
      </w:r>
    </w:p>
    <w:p w14:paraId="51B7EE57" w14:textId="50F079FB" w:rsidR="007A439B" w:rsidRDefault="007A439B" w:rsidP="002C42CC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A439B">
        <w:rPr>
          <w:rFonts w:ascii="Arial" w:hAnsi="Arial" w:cs="Arial"/>
        </w:rPr>
        <w:t>świadczenia o braku podstaw do odrzucenia oferty</w:t>
      </w:r>
      <w:r w:rsidRPr="007A439B">
        <w:t xml:space="preserve"> </w:t>
      </w:r>
      <w:r w:rsidRPr="007A439B">
        <w:rPr>
          <w:rFonts w:ascii="Arial" w:hAnsi="Arial" w:cs="Arial"/>
        </w:rPr>
        <w:t xml:space="preserve">zgodne ze wzorem stanowiącym </w:t>
      </w:r>
      <w:r w:rsidRPr="007A439B">
        <w:rPr>
          <w:rFonts w:ascii="Arial" w:hAnsi="Arial" w:cs="Arial"/>
          <w:b/>
          <w:bCs/>
        </w:rPr>
        <w:t xml:space="preserve">Załącznik nr </w:t>
      </w:r>
      <w:r w:rsidRPr="007A439B">
        <w:rPr>
          <w:rFonts w:ascii="Arial" w:hAnsi="Arial" w:cs="Arial"/>
          <w:b/>
          <w:bCs/>
        </w:rPr>
        <w:t>4</w:t>
      </w:r>
      <w:r w:rsidRPr="007A439B">
        <w:rPr>
          <w:rFonts w:ascii="Arial" w:hAnsi="Arial" w:cs="Arial"/>
          <w:b/>
          <w:bCs/>
        </w:rPr>
        <w:t xml:space="preserve"> do Informacji o postępowaniu</w:t>
      </w:r>
      <w:r>
        <w:rPr>
          <w:rFonts w:ascii="Arial" w:hAnsi="Arial" w:cs="Arial"/>
          <w:b/>
          <w:bCs/>
        </w:rPr>
        <w:t>.</w:t>
      </w:r>
    </w:p>
    <w:p w14:paraId="1238D20F" w14:textId="37DC7EAB" w:rsidR="00AB13BB" w:rsidRDefault="00AB13BB" w:rsidP="002C42CC">
      <w:pPr>
        <w:pStyle w:val="Akapitzlist"/>
        <w:numPr>
          <w:ilvl w:val="0"/>
          <w:numId w:val="3"/>
        </w:numPr>
        <w:spacing w:before="240" w:after="12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1E4E9C73" w:rsidR="00CC2AAC" w:rsidRPr="00433244" w:rsidRDefault="00CC2AAC" w:rsidP="002C42CC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DF4B214" w:rsidR="005F2E4F" w:rsidRDefault="005F2E4F" w:rsidP="002C42CC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160FFC">
        <w:rPr>
          <w:rFonts w:ascii="Arial" w:hAnsi="Arial" w:cs="Arial"/>
        </w:rPr>
        <w:t>, 5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5DBFC13C" w14:textId="508BC6DA" w:rsidR="00681C76" w:rsidRDefault="00681C76" w:rsidP="002C42C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u w:val="single"/>
        </w:rPr>
      </w:pPr>
      <w:r w:rsidRPr="00681C76">
        <w:rPr>
          <w:rFonts w:ascii="Arial" w:hAnsi="Arial" w:cs="Arial"/>
          <w:u w:val="single"/>
        </w:rPr>
        <w:t>Dokumenty, o których mowa w ust. 1 pkt 1 – 5, składa się w zakresie każdego z Wykonawców występujących wspólnie.</w:t>
      </w:r>
    </w:p>
    <w:p w14:paraId="6558F0E8" w14:textId="77777777" w:rsidR="00681C76" w:rsidRPr="00681C76" w:rsidRDefault="00681C76" w:rsidP="002C42CC">
      <w:pPr>
        <w:pStyle w:val="Akapitzlist"/>
        <w:spacing w:line="276" w:lineRule="auto"/>
        <w:ind w:left="644"/>
        <w:jc w:val="both"/>
        <w:rPr>
          <w:rFonts w:ascii="Arial" w:hAnsi="Arial" w:cs="Arial"/>
          <w:u w:val="single"/>
        </w:rPr>
      </w:pPr>
    </w:p>
    <w:p w14:paraId="1F270944" w14:textId="77777777" w:rsidR="00B03886" w:rsidRPr="00307751" w:rsidRDefault="0072749B" w:rsidP="002C42CC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2C42CC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1B9D4ACB" w14:textId="77777777" w:rsidR="00077F75" w:rsidRDefault="009906F8" w:rsidP="002C42CC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438CD4C6" w:rsidR="00544B46" w:rsidRDefault="00554EB7" w:rsidP="002C42CC">
      <w:pPr>
        <w:pStyle w:val="Akapitzlist"/>
        <w:spacing w:before="120" w:after="0" w:line="276" w:lineRule="auto"/>
        <w:ind w:left="644"/>
        <w:contextualSpacing w:val="0"/>
        <w:jc w:val="both"/>
        <w:rPr>
          <w:rFonts w:ascii="Arial" w:hAnsi="Arial" w:cs="Arial"/>
          <w:i/>
        </w:rPr>
      </w:pPr>
      <w:r w:rsidRPr="00077F75">
        <w:rPr>
          <w:rFonts w:ascii="Arial" w:hAnsi="Arial" w:cs="Arial"/>
        </w:rPr>
        <w:t xml:space="preserve">– oferowaną </w:t>
      </w:r>
      <w:r w:rsidRPr="00077F75">
        <w:rPr>
          <w:rFonts w:ascii="Arial" w:hAnsi="Arial" w:cs="Arial"/>
          <w:b/>
        </w:rPr>
        <w:t xml:space="preserve">cenę netto oraz </w:t>
      </w:r>
      <w:r w:rsidR="0031279D" w:rsidRPr="00077F75">
        <w:rPr>
          <w:rFonts w:ascii="Arial" w:hAnsi="Arial" w:cs="Arial"/>
          <w:b/>
        </w:rPr>
        <w:t xml:space="preserve">cenę </w:t>
      </w:r>
      <w:r w:rsidRPr="00077F75">
        <w:rPr>
          <w:rFonts w:ascii="Arial" w:hAnsi="Arial" w:cs="Arial"/>
          <w:b/>
        </w:rPr>
        <w:t>brutto</w:t>
      </w:r>
      <w:r w:rsidR="00AC7E60" w:rsidRPr="00077F75">
        <w:rPr>
          <w:rFonts w:ascii="Arial" w:hAnsi="Arial" w:cs="Arial"/>
          <w:b/>
        </w:rPr>
        <w:t xml:space="preserve"> </w:t>
      </w:r>
      <w:r w:rsidR="00AC7E60" w:rsidRPr="00077F75">
        <w:rPr>
          <w:rFonts w:ascii="Arial" w:hAnsi="Arial" w:cs="Arial"/>
        </w:rPr>
        <w:t>za</w:t>
      </w:r>
      <w:r w:rsidRPr="00077F75">
        <w:rPr>
          <w:rFonts w:ascii="Arial" w:hAnsi="Arial" w:cs="Arial"/>
        </w:rPr>
        <w:t xml:space="preserve"> </w:t>
      </w:r>
      <w:r w:rsidR="00544B46" w:rsidRPr="00077F75">
        <w:rPr>
          <w:rFonts w:ascii="Arial" w:hAnsi="Arial" w:cs="Arial"/>
          <w:iCs/>
        </w:rPr>
        <w:t>sztukę danego asortymentu</w:t>
      </w:r>
      <w:r w:rsidR="00077F75" w:rsidRPr="00077F75">
        <w:rPr>
          <w:rFonts w:ascii="Arial" w:hAnsi="Arial" w:cs="Arial"/>
          <w:iCs/>
        </w:rPr>
        <w:t>:</w:t>
      </w:r>
    </w:p>
    <w:p w14:paraId="06192239" w14:textId="77777777" w:rsidR="00077F75" w:rsidRPr="00077F75" w:rsidRDefault="00077F75" w:rsidP="00077F7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</w:pPr>
      <w:r w:rsidRPr="00077F75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Pozycje</w:t>
      </w:r>
    </w:p>
    <w:tbl>
      <w:tblPr>
        <w:tblW w:w="4955" w:type="pct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1854"/>
        <w:gridCol w:w="1328"/>
        <w:gridCol w:w="1365"/>
        <w:gridCol w:w="944"/>
        <w:gridCol w:w="1110"/>
        <w:gridCol w:w="1111"/>
        <w:gridCol w:w="1138"/>
      </w:tblGrid>
      <w:tr w:rsidR="00077F75" w:rsidRPr="00681C76" w14:paraId="1972BE7A" w14:textId="77777777" w:rsidTr="00077F75">
        <w:trPr>
          <w:tblCellSpacing w:w="15" w:type="dxa"/>
        </w:trPr>
        <w:tc>
          <w:tcPr>
            <w:tcW w:w="256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42A85F" w14:textId="77777777" w:rsidR="00077F75" w:rsidRPr="00077F75" w:rsidRDefault="00077F75" w:rsidP="00077F75">
            <w:pPr>
              <w:spacing w:after="75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1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41F8D0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pozycji</w:t>
            </w:r>
          </w:p>
        </w:tc>
        <w:tc>
          <w:tcPr>
            <w:tcW w:w="635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F31528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Typ pozycji</w:t>
            </w:r>
          </w:p>
        </w:tc>
        <w:tc>
          <w:tcPr>
            <w:tcW w:w="653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7F9852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451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032DC5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46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FFD050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646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E73632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529" w:type="pct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shd w:val="clear" w:color="auto" w:fill="EAEAE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1711A6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</w:tr>
      <w:tr w:rsidR="00077F75" w:rsidRPr="00681C76" w14:paraId="1493A632" w14:textId="77777777" w:rsidTr="00077F75">
        <w:trPr>
          <w:tblCellSpacing w:w="15" w:type="dxa"/>
        </w:trPr>
        <w:tc>
          <w:tcPr>
            <w:tcW w:w="25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01FF79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B2A4CB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1" w:history="1">
              <w:r w:rsidRPr="00077F75">
                <w:rPr>
                  <w:rFonts w:eastAsia="Times New Roman" w:cstheme="minorHAnsi"/>
                  <w:color w:val="005FA3"/>
                  <w:sz w:val="20"/>
                  <w:szCs w:val="20"/>
                  <w:u w:val="single"/>
                  <w:lang w:eastAsia="pl-PL"/>
                </w:rPr>
                <w:t>Ręcznik frotte, wykonany z barwionej przędzy bawełnianej 100%, wym. 50x100cm ±1cm, dwustronny, gramatura 500g/m2±25g/m2, kolor niebieski lub morski</w:t>
              </w:r>
            </w:hyperlink>
          </w:p>
        </w:tc>
        <w:tc>
          <w:tcPr>
            <w:tcW w:w="635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68BF70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53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84EE4C" w14:textId="2D9A2088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45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B6DCCF" w14:textId="77777777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400,000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41CD23" w14:textId="0FE26D65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678CAF" w14:textId="14B7CB20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529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8CEEAA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Sztuka</w:t>
            </w:r>
          </w:p>
        </w:tc>
      </w:tr>
      <w:tr w:rsidR="00077F75" w:rsidRPr="00681C76" w14:paraId="36A7FB10" w14:textId="77777777" w:rsidTr="00077F75">
        <w:trPr>
          <w:tblCellSpacing w:w="15" w:type="dxa"/>
        </w:trPr>
        <w:tc>
          <w:tcPr>
            <w:tcW w:w="25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5B96A4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04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AF008B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2" w:history="1">
              <w:r w:rsidRPr="00077F75">
                <w:rPr>
                  <w:rFonts w:eastAsia="Times New Roman" w:cstheme="minorHAnsi"/>
                  <w:color w:val="005FA3"/>
                  <w:sz w:val="20"/>
                  <w:szCs w:val="20"/>
                  <w:u w:val="single"/>
                  <w:lang w:eastAsia="pl-PL"/>
                </w:rPr>
                <w:t>Ręcznik frotte, wykonany z barwionej przędzy bawełnianej 100%, wym. 50x100cm ±1cm, dwustronny, gramatura 500g/m2±25g/m2, kolor brązowy lub bordo</w:t>
              </w:r>
            </w:hyperlink>
          </w:p>
        </w:tc>
        <w:tc>
          <w:tcPr>
            <w:tcW w:w="635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B4D527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53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61E800" w14:textId="6A00BCE2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45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0E0FA1" w14:textId="77777777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665,000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7A8635" w14:textId="727148E2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7B5654" w14:textId="53B42671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529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AB9B65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Sztuka</w:t>
            </w:r>
          </w:p>
        </w:tc>
      </w:tr>
      <w:tr w:rsidR="00077F75" w:rsidRPr="00681C76" w14:paraId="4E397C9A" w14:textId="77777777" w:rsidTr="00077F75">
        <w:trPr>
          <w:tblCellSpacing w:w="15" w:type="dxa"/>
        </w:trPr>
        <w:tc>
          <w:tcPr>
            <w:tcW w:w="25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5757F2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D5D586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3" w:history="1">
              <w:r w:rsidRPr="00077F75">
                <w:rPr>
                  <w:rFonts w:eastAsia="Times New Roman" w:cstheme="minorHAnsi"/>
                  <w:color w:val="005FA3"/>
                  <w:sz w:val="20"/>
                  <w:szCs w:val="20"/>
                  <w:u w:val="single"/>
                  <w:lang w:eastAsia="pl-PL"/>
                </w:rPr>
                <w:t>Ręcznik frotte, wykonany z barwionej przędzy bawełnianej 100%, wym. 50x100cm ±1cm, dwustronny, gramatura 500g/m2±25g/m2, kolor granatowy</w:t>
              </w:r>
            </w:hyperlink>
          </w:p>
        </w:tc>
        <w:tc>
          <w:tcPr>
            <w:tcW w:w="635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6D6420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53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A6EF6D" w14:textId="5C96544B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45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3BED3C" w14:textId="77777777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600,000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08D8F5" w14:textId="344A3BC8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7817C1" w14:textId="62202D44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529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343568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Sztuka</w:t>
            </w:r>
          </w:p>
        </w:tc>
      </w:tr>
      <w:tr w:rsidR="00077F75" w:rsidRPr="00681C76" w14:paraId="6736343F" w14:textId="77777777" w:rsidTr="00077F75">
        <w:trPr>
          <w:tblCellSpacing w:w="15" w:type="dxa"/>
        </w:trPr>
        <w:tc>
          <w:tcPr>
            <w:tcW w:w="25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E6E07B9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2B0DA3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4" w:history="1">
              <w:r w:rsidRPr="00077F75">
                <w:rPr>
                  <w:rFonts w:eastAsia="Times New Roman" w:cstheme="minorHAnsi"/>
                  <w:color w:val="005FA3"/>
                  <w:sz w:val="20"/>
                  <w:szCs w:val="20"/>
                  <w:u w:val="single"/>
                  <w:lang w:eastAsia="pl-PL"/>
                </w:rPr>
                <w:t>Ręcznik frotte, wykonany z barwionej przędzy bawełnianej 100%, wym. 50x100cm ±1cm, dwustronny, gramatura 500g/m2±25g/m2, kolor ciemna zieleń</w:t>
              </w:r>
            </w:hyperlink>
          </w:p>
        </w:tc>
        <w:tc>
          <w:tcPr>
            <w:tcW w:w="635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B7005B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53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956A3E" w14:textId="4717BBBB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451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19956D" w14:textId="77777777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675,000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866CAF" w14:textId="658724BA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646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04599A" w14:textId="1D99F53B" w:rsidR="00077F75" w:rsidRPr="00077F75" w:rsidRDefault="00077F75" w:rsidP="00077F75">
            <w:pPr>
              <w:spacing w:after="75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1C76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529" w:type="pct"/>
            <w:tcBorders>
              <w:bottom w:val="single" w:sz="6" w:space="0" w:color="F0F0F0"/>
              <w:right w:val="single" w:sz="6" w:space="0" w:color="FFFFFF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EE5598" w14:textId="77777777" w:rsidR="00077F75" w:rsidRPr="00077F75" w:rsidRDefault="00077F75" w:rsidP="00077F75">
            <w:pPr>
              <w:spacing w:after="75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7F75">
              <w:rPr>
                <w:rFonts w:eastAsia="Times New Roman" w:cstheme="minorHAnsi"/>
                <w:sz w:val="20"/>
                <w:szCs w:val="20"/>
                <w:lang w:eastAsia="pl-PL"/>
              </w:rPr>
              <w:t>Sztuka</w:t>
            </w:r>
          </w:p>
        </w:tc>
      </w:tr>
    </w:tbl>
    <w:p w14:paraId="1FBE1A9B" w14:textId="77777777" w:rsidR="00077F75" w:rsidRPr="00681C76" w:rsidRDefault="00077F75" w:rsidP="00681C76">
      <w:pPr>
        <w:spacing w:before="120" w:after="0" w:line="360" w:lineRule="auto"/>
        <w:rPr>
          <w:rFonts w:ascii="Arial" w:hAnsi="Arial" w:cs="Arial"/>
        </w:rPr>
      </w:pPr>
    </w:p>
    <w:p w14:paraId="53BD7306" w14:textId="77777777" w:rsidR="0034174F" w:rsidRDefault="00695467" w:rsidP="002C42CC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36618863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2C42CC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2C42CC">
      <w:pPr>
        <w:spacing w:before="120" w:after="12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2C42CC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2C42CC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2C42CC">
      <w:pPr>
        <w:pStyle w:val="Akapitzlist"/>
        <w:spacing w:before="120" w:after="12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2C42CC">
      <w:pPr>
        <w:pStyle w:val="Akapitzlist"/>
        <w:spacing w:before="120" w:after="12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2C42CC">
      <w:pPr>
        <w:pStyle w:val="Akapitzlist"/>
        <w:spacing w:before="120" w:after="12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2C42CC">
      <w:pPr>
        <w:pStyle w:val="Akapitzlist"/>
        <w:spacing w:before="120" w:after="12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lastRenderedPageBreak/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55936903" w:rsidR="00B13D8B" w:rsidRPr="0034174F" w:rsidRDefault="00676206" w:rsidP="002C42CC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077F75">
        <w:rPr>
          <w:rFonts w:ascii="Arial" w:hAnsi="Arial" w:cs="Arial"/>
        </w:rPr>
        <w:t>dwóch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78EC5CCA" w:rsidR="00BD26A3" w:rsidRPr="00077F75" w:rsidRDefault="00126C34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 xml:space="preserve">Termin związania ofertą wynosi </w:t>
      </w:r>
      <w:r w:rsidR="00077F75" w:rsidRPr="00077F75">
        <w:rPr>
          <w:rFonts w:ascii="Arial" w:hAnsi="Arial" w:cs="Arial"/>
          <w:b/>
          <w:bCs/>
        </w:rPr>
        <w:t>30</w:t>
      </w:r>
      <w:r w:rsidR="0060271E" w:rsidRPr="00077F75">
        <w:rPr>
          <w:rFonts w:ascii="Arial" w:hAnsi="Arial" w:cs="Arial"/>
          <w:b/>
          <w:bCs/>
        </w:rPr>
        <w:t xml:space="preserve"> dni</w:t>
      </w:r>
      <w:r w:rsidR="00BD26A3" w:rsidRPr="00077F75">
        <w:rPr>
          <w:rFonts w:ascii="Arial" w:hAnsi="Arial" w:cs="Arial"/>
          <w:b/>
          <w:bCs/>
        </w:rPr>
        <w:t xml:space="preserve"> kalendarzowych</w:t>
      </w:r>
      <w:r w:rsidR="00BD26A3" w:rsidRPr="00077F75">
        <w:rPr>
          <w:rFonts w:ascii="Arial" w:hAnsi="Arial" w:cs="Arial"/>
        </w:rPr>
        <w:t xml:space="preserve"> i rozpoczyna się wraz z upływem terminu składania ofert.</w:t>
      </w:r>
    </w:p>
    <w:p w14:paraId="3909DC51" w14:textId="22C1CABD" w:rsidR="006A3319" w:rsidRPr="00077F75" w:rsidRDefault="006A3319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>Zamawiający informuje, że dopuszcza przeprowadzenie Negocjacji handlowych, zgodnie z § 20 Regulaminu.</w:t>
      </w:r>
    </w:p>
    <w:p w14:paraId="482EAAA5" w14:textId="7FD8769C" w:rsidR="00A10609" w:rsidRPr="00077F75" w:rsidRDefault="00251B25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077F75">
        <w:rPr>
          <w:rFonts w:ascii="Arial" w:hAnsi="Arial" w:cs="Arial"/>
        </w:rPr>
        <w:t>30</w:t>
      </w:r>
      <w:r w:rsidRPr="00077F75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  <w:r w:rsidR="006A3319" w:rsidRPr="00077F75">
        <w:rPr>
          <w:rFonts w:ascii="Arial" w:hAnsi="Arial" w:cs="Arial"/>
        </w:rPr>
        <w:t xml:space="preserve"> </w:t>
      </w:r>
    </w:p>
    <w:p w14:paraId="415562D1" w14:textId="77777777" w:rsidR="004262EB" w:rsidRPr="00077F75" w:rsidRDefault="00676206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077F75">
        <w:rPr>
          <w:rFonts w:ascii="Arial" w:hAnsi="Arial" w:cs="Arial"/>
          <w:b/>
          <w:bCs/>
          <w:u w:val="single"/>
        </w:rPr>
        <w:t xml:space="preserve">Wszelka komunikacja pomiędzy </w:t>
      </w:r>
      <w:r w:rsidR="005F65A3" w:rsidRPr="00077F75">
        <w:rPr>
          <w:rFonts w:ascii="Arial" w:hAnsi="Arial" w:cs="Arial"/>
          <w:b/>
          <w:bCs/>
          <w:u w:val="single"/>
        </w:rPr>
        <w:t xml:space="preserve">Zamawiającym a Wykonawcami </w:t>
      </w:r>
      <w:r w:rsidRPr="00077F75">
        <w:rPr>
          <w:rFonts w:ascii="Arial" w:hAnsi="Arial" w:cs="Arial"/>
          <w:b/>
          <w:bCs/>
          <w:u w:val="single"/>
        </w:rPr>
        <w:t>odbywa się przy pomocy Platfo</w:t>
      </w:r>
      <w:r w:rsidR="0072749B" w:rsidRPr="00077F75">
        <w:rPr>
          <w:rFonts w:ascii="Arial" w:hAnsi="Arial" w:cs="Arial"/>
          <w:b/>
          <w:bCs/>
          <w:u w:val="single"/>
        </w:rPr>
        <w:t>rmy Zakupowej za pośrednictwem m</w:t>
      </w:r>
      <w:r w:rsidR="00DC0497" w:rsidRPr="00077F75">
        <w:rPr>
          <w:rFonts w:ascii="Arial" w:hAnsi="Arial" w:cs="Arial"/>
          <w:b/>
          <w:bCs/>
          <w:u w:val="single"/>
        </w:rPr>
        <w:t>odułu Korespondencji.</w:t>
      </w:r>
    </w:p>
    <w:p w14:paraId="03BCD4D4" w14:textId="48D4B8B3" w:rsidR="00676206" w:rsidRPr="00077F75" w:rsidRDefault="00676206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 xml:space="preserve">Pod adresem: </w:t>
      </w:r>
      <w:hyperlink r:id="rId15" w:tooltip="https://platformazakupowa.plk-sa.pl" w:history="1">
        <w:r w:rsidR="00FF3926" w:rsidRPr="00077F75">
          <w:rPr>
            <w:rFonts w:ascii="Arial" w:hAnsi="Arial" w:cs="Arial"/>
          </w:rPr>
          <w:t>https://platformazakupowa.plk-sa.pl</w:t>
        </w:r>
      </w:hyperlink>
      <w:r w:rsidR="00FF3926" w:rsidRPr="00077F75">
        <w:rPr>
          <w:rFonts w:ascii="Arial" w:hAnsi="Arial" w:cs="Arial"/>
        </w:rPr>
        <w:t xml:space="preserve"> w zakładce Regulacje i procedury procesu zakupowego </w:t>
      </w:r>
      <w:r w:rsidR="007E1CF5" w:rsidRPr="00077F75">
        <w:rPr>
          <w:rFonts w:ascii="Arial" w:hAnsi="Arial" w:cs="Arial"/>
        </w:rPr>
        <w:t>jest dostępny P</w:t>
      </w:r>
      <w:r w:rsidR="00434BA3" w:rsidRPr="00077F75">
        <w:rPr>
          <w:rFonts w:ascii="Arial" w:hAnsi="Arial" w:cs="Arial"/>
        </w:rPr>
        <w:t>odręcznik dla Wykonawców opisujący sposób korzystania z Platformy Zakupowej.</w:t>
      </w:r>
      <w:r w:rsidR="00501E6B" w:rsidRPr="00077F75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077F75">
        <w:rPr>
          <w:rFonts w:ascii="Arial" w:hAnsi="Arial" w:cs="Arial"/>
        </w:rPr>
        <w:t>48 22 576 87 56</w:t>
      </w:r>
      <w:r w:rsidR="00501E6B" w:rsidRPr="00077F75">
        <w:rPr>
          <w:rFonts w:ascii="Arial" w:hAnsi="Arial" w:cs="Arial"/>
        </w:rPr>
        <w:t xml:space="preserve"> e-mail: </w:t>
      </w:r>
      <w:hyperlink r:id="rId16" w:history="1">
        <w:r w:rsidR="0031279D" w:rsidRPr="00077F75">
          <w:rPr>
            <w:rStyle w:val="Hipercze"/>
            <w:rFonts w:ascii="Arial" w:hAnsi="Arial" w:cs="Arial"/>
          </w:rPr>
          <w:t>pomoc-pz2@marketplanet.pl</w:t>
        </w:r>
      </w:hyperlink>
      <w:r w:rsidR="0031279D" w:rsidRPr="00077F75">
        <w:rPr>
          <w:rFonts w:ascii="Arial" w:hAnsi="Arial" w:cs="Arial"/>
        </w:rPr>
        <w:t xml:space="preserve"> </w:t>
      </w:r>
      <w:r w:rsidR="007D0179" w:rsidRPr="00077F75">
        <w:rPr>
          <w:rFonts w:ascii="Arial" w:hAnsi="Arial" w:cs="Arial"/>
        </w:rPr>
        <w:t>w dni robocze od poniedziałku do piątku w godz. 8:00 – 16:00</w:t>
      </w:r>
      <w:r w:rsidR="0031279D" w:rsidRPr="00077F75">
        <w:rPr>
          <w:rFonts w:ascii="Arial" w:hAnsi="Arial" w:cs="Arial"/>
        </w:rPr>
        <w:t>.</w:t>
      </w:r>
    </w:p>
    <w:p w14:paraId="7E3D87E1" w14:textId="319901B2" w:rsidR="00676206" w:rsidRPr="00077F75" w:rsidRDefault="009F7CA8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 xml:space="preserve">Do realizacji zamówienia zastosowanie będą miały </w:t>
      </w:r>
      <w:r w:rsidR="007E1CF5" w:rsidRPr="00077F75">
        <w:rPr>
          <w:rFonts w:ascii="Arial" w:hAnsi="Arial" w:cs="Arial"/>
        </w:rPr>
        <w:t xml:space="preserve">Ogólne Warunki </w:t>
      </w:r>
      <w:r w:rsidR="007F3AB4" w:rsidRPr="00077F75">
        <w:rPr>
          <w:rFonts w:ascii="Arial" w:hAnsi="Arial" w:cs="Arial"/>
        </w:rPr>
        <w:t xml:space="preserve">Umowy </w:t>
      </w:r>
      <w:r w:rsidRPr="00077F75">
        <w:rPr>
          <w:rFonts w:ascii="Arial" w:hAnsi="Arial" w:cs="Arial"/>
        </w:rPr>
        <w:t xml:space="preserve">stanowiące </w:t>
      </w:r>
      <w:r w:rsidR="007E1CF5" w:rsidRPr="00077F75">
        <w:rPr>
          <w:rFonts w:ascii="Arial" w:hAnsi="Arial" w:cs="Arial"/>
          <w:b/>
          <w:bCs/>
        </w:rPr>
        <w:t>Z</w:t>
      </w:r>
      <w:r w:rsidRPr="00077F75">
        <w:rPr>
          <w:rFonts w:ascii="Arial" w:hAnsi="Arial" w:cs="Arial"/>
          <w:b/>
          <w:bCs/>
        </w:rPr>
        <w:t xml:space="preserve">ałącznik nr </w:t>
      </w:r>
      <w:r w:rsidR="00077F75" w:rsidRPr="00077F75">
        <w:rPr>
          <w:rFonts w:ascii="Arial" w:hAnsi="Arial" w:cs="Arial"/>
          <w:b/>
          <w:bCs/>
        </w:rPr>
        <w:t>5</w:t>
      </w:r>
      <w:r w:rsidRPr="00077F75">
        <w:rPr>
          <w:rFonts w:ascii="Arial" w:hAnsi="Arial" w:cs="Arial"/>
          <w:b/>
          <w:bCs/>
        </w:rPr>
        <w:t xml:space="preserve"> do </w:t>
      </w:r>
      <w:r w:rsidR="007E1CF5" w:rsidRPr="00077F75">
        <w:rPr>
          <w:rFonts w:ascii="Arial" w:hAnsi="Arial" w:cs="Arial"/>
          <w:b/>
          <w:bCs/>
        </w:rPr>
        <w:t>Informacji o postępowaniu</w:t>
      </w:r>
      <w:r w:rsidR="00077F75" w:rsidRPr="00077F75">
        <w:rPr>
          <w:rFonts w:ascii="Arial" w:hAnsi="Arial" w:cs="Arial"/>
        </w:rPr>
        <w:t>.</w:t>
      </w:r>
    </w:p>
    <w:p w14:paraId="1992ABCA" w14:textId="2C2A508E" w:rsidR="00416D32" w:rsidRPr="00077F75" w:rsidRDefault="005F65A3" w:rsidP="002C42CC">
      <w:pPr>
        <w:pStyle w:val="Akapitzlist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077F75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 w:rsidRPr="00077F75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2C42CC">
      <w:pPr>
        <w:pStyle w:val="Akapitzlist"/>
        <w:numPr>
          <w:ilvl w:val="0"/>
          <w:numId w:val="48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B255EF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2C42C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2C42C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wyłonienia wykonawcy oraz udzielenia Zamówienia poprzez zawarcie Umowy;</w:t>
      </w:r>
    </w:p>
    <w:p w14:paraId="77C81FA2" w14:textId="77777777" w:rsidR="00FD0458" w:rsidRPr="00615326" w:rsidRDefault="00FD0458" w:rsidP="002C42C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2C42C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2C42CC">
      <w:pPr>
        <w:pStyle w:val="Akapitzlist"/>
        <w:spacing w:after="120" w:line="276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2C42C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2C42C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2C42C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2C42C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2C42CC">
      <w:pPr>
        <w:pStyle w:val="Akapitzlist"/>
        <w:numPr>
          <w:ilvl w:val="0"/>
          <w:numId w:val="48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2C42CC">
      <w:pPr>
        <w:pStyle w:val="Akapitzlist"/>
        <w:numPr>
          <w:ilvl w:val="0"/>
          <w:numId w:val="52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fakcie przekazania danych osobowych Zamawiającemu;</w:t>
      </w:r>
    </w:p>
    <w:p w14:paraId="2AED4A57" w14:textId="77777777" w:rsidR="00FD0458" w:rsidRPr="00615326" w:rsidRDefault="00FD0458" w:rsidP="002C42CC">
      <w:pPr>
        <w:pStyle w:val="Akapitzlist"/>
        <w:numPr>
          <w:ilvl w:val="0"/>
          <w:numId w:val="52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2C42CC">
      <w:pPr>
        <w:pStyle w:val="Akapitzlist"/>
        <w:numPr>
          <w:ilvl w:val="0"/>
          <w:numId w:val="48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20168FB1" w:rsidR="0090017D" w:rsidRPr="00B43343" w:rsidRDefault="000D7EA0" w:rsidP="002C42CC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255EF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55717CBB" w:rsidR="00527FAE" w:rsidRDefault="000D7EA0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255EF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6E81688E" w:rsidR="006A3319" w:rsidRDefault="006A3319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255E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7B5DDD41" w14:textId="77777777" w:rsidR="00077F75" w:rsidRDefault="00077F75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DD7E2B">
        <w:rPr>
          <w:rFonts w:ascii="Arial" w:hAnsi="Arial" w:cs="Arial"/>
        </w:rPr>
        <w:t>Załącznik nr 4 – Wzór Oświadczenia o braku podstaw do odrzucenia oferty</w:t>
      </w:r>
    </w:p>
    <w:p w14:paraId="2AE06840" w14:textId="044F31F1" w:rsidR="0090017D" w:rsidRDefault="000D7EA0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255EF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DF22B2" w:rsidRPr="00B255EF">
        <w:rPr>
          <w:rFonts w:ascii="Arial" w:hAnsi="Arial" w:cs="Arial"/>
        </w:rPr>
        <w:t>Ogólne W</w:t>
      </w:r>
      <w:r w:rsidR="003E26E8" w:rsidRPr="00B255EF">
        <w:rPr>
          <w:rFonts w:ascii="Arial" w:hAnsi="Arial" w:cs="Arial"/>
        </w:rPr>
        <w:t>arunki</w:t>
      </w:r>
      <w:r w:rsidR="00DF22B2" w:rsidRPr="00B255EF">
        <w:rPr>
          <w:rFonts w:ascii="Arial" w:hAnsi="Arial" w:cs="Arial"/>
        </w:rPr>
        <w:t xml:space="preserve"> </w:t>
      </w:r>
      <w:r w:rsidR="007F3AB4" w:rsidRPr="00B255EF">
        <w:rPr>
          <w:rFonts w:ascii="Arial" w:hAnsi="Arial" w:cs="Arial"/>
        </w:rPr>
        <w:t>Umowy</w:t>
      </w:r>
      <w:r w:rsidR="003E26E8" w:rsidRPr="00B255EF">
        <w:rPr>
          <w:rFonts w:ascii="Arial" w:hAnsi="Arial" w:cs="Arial"/>
        </w:rPr>
        <w:t xml:space="preserve"> </w:t>
      </w:r>
    </w:p>
    <w:p w14:paraId="2BBD2F0E" w14:textId="1E5F814F" w:rsidR="007A439B" w:rsidRDefault="007A439B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6a – Wzór Protokół odbioru ilościowego dostawy</w:t>
      </w:r>
    </w:p>
    <w:p w14:paraId="70B9A0D5" w14:textId="23AE0562" w:rsidR="007A439B" w:rsidRDefault="007A439B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6b – </w:t>
      </w:r>
      <w:r>
        <w:rPr>
          <w:rFonts w:ascii="Arial" w:hAnsi="Arial" w:cs="Arial"/>
        </w:rPr>
        <w:t xml:space="preserve">Wzór Protokół odbioru </w:t>
      </w:r>
      <w:r>
        <w:rPr>
          <w:rFonts w:ascii="Arial" w:hAnsi="Arial" w:cs="Arial"/>
        </w:rPr>
        <w:t>jakościowego</w:t>
      </w:r>
      <w:r>
        <w:rPr>
          <w:rFonts w:ascii="Arial" w:hAnsi="Arial" w:cs="Arial"/>
        </w:rPr>
        <w:t xml:space="preserve"> dostawy</w:t>
      </w:r>
    </w:p>
    <w:p w14:paraId="7B3494E1" w14:textId="4A6892D3" w:rsidR="007A439B" w:rsidRDefault="007A439B" w:rsidP="002C42CC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6c – </w:t>
      </w:r>
      <w:r>
        <w:rPr>
          <w:rFonts w:ascii="Arial" w:hAnsi="Arial" w:cs="Arial"/>
        </w:rPr>
        <w:t xml:space="preserve">Wzór Protokół odbioru </w:t>
      </w:r>
      <w:r>
        <w:rPr>
          <w:rFonts w:ascii="Arial" w:hAnsi="Arial" w:cs="Arial"/>
        </w:rPr>
        <w:t>końcowego</w:t>
      </w:r>
      <w:r>
        <w:rPr>
          <w:rFonts w:ascii="Arial" w:hAnsi="Arial" w:cs="Arial"/>
        </w:rPr>
        <w:t xml:space="preserve"> dostawy</w:t>
      </w:r>
    </w:p>
    <w:p w14:paraId="5BC4194A" w14:textId="1C5C0F68" w:rsidR="007A439B" w:rsidRPr="00B43343" w:rsidRDefault="007A439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07E96B6" w14:textId="77777777" w:rsidR="002C42CC" w:rsidRDefault="002C42CC" w:rsidP="002C42CC">
      <w:pPr>
        <w:suppressAutoHyphens/>
        <w:spacing w:after="60" w:line="360" w:lineRule="auto"/>
        <w:ind w:left="7655" w:hanging="1418"/>
        <w:rPr>
          <w:rFonts w:ascii="Arial" w:eastAsia="Batang" w:hAnsi="Arial" w:cs="Arial"/>
          <w:b/>
          <w:lang w:eastAsia="ar-SA"/>
        </w:rPr>
      </w:pPr>
      <w:r>
        <w:rPr>
          <w:rFonts w:ascii="Arial" w:eastAsia="Batang" w:hAnsi="Arial" w:cs="Arial"/>
          <w:b/>
          <w:lang w:eastAsia="ar-SA"/>
        </w:rPr>
        <w:t>ZATWIERDZAM</w:t>
      </w:r>
    </w:p>
    <w:p w14:paraId="23689784" w14:textId="77777777" w:rsidR="002C42CC" w:rsidRDefault="002C42CC" w:rsidP="002C42CC">
      <w:pPr>
        <w:suppressAutoHyphens/>
        <w:spacing w:after="60" w:line="360" w:lineRule="auto"/>
        <w:ind w:left="7655" w:hanging="1418"/>
        <w:rPr>
          <w:rFonts w:ascii="Arial" w:eastAsia="Batang" w:hAnsi="Arial" w:cs="Arial"/>
          <w:b/>
          <w:lang w:eastAsia="ar-SA"/>
        </w:rPr>
      </w:pPr>
    </w:p>
    <w:p w14:paraId="7E895CCB" w14:textId="77777777" w:rsidR="002C42CC" w:rsidRDefault="002C42CC" w:rsidP="002C42CC">
      <w:pPr>
        <w:suppressAutoHyphens/>
        <w:spacing w:after="0" w:line="360" w:lineRule="auto"/>
        <w:ind w:left="7230" w:hanging="1418"/>
        <w:rPr>
          <w:rFonts w:ascii="Arial" w:eastAsia="Batang" w:hAnsi="Arial" w:cs="Arial"/>
          <w:b/>
          <w:sz w:val="12"/>
          <w:szCs w:val="16"/>
          <w:lang w:eastAsia="ar-SA"/>
        </w:rPr>
      </w:pPr>
      <w:r>
        <w:rPr>
          <w:rFonts w:ascii="Arial" w:eastAsia="Batang" w:hAnsi="Arial" w:cs="Arial"/>
          <w:b/>
          <w:lang w:eastAsia="ar-SA"/>
        </w:rPr>
        <w:t>______________________</w:t>
      </w:r>
    </w:p>
    <w:p w14:paraId="76B9E0A3" w14:textId="77777777" w:rsidR="002C42CC" w:rsidRPr="00BD4344" w:rsidRDefault="002C42CC" w:rsidP="002C42CC">
      <w:pPr>
        <w:suppressAutoHyphens/>
        <w:spacing w:after="0" w:line="360" w:lineRule="auto"/>
        <w:ind w:left="5954"/>
        <w:rPr>
          <w:rFonts w:ascii="Arial" w:eastAsia="Batang" w:hAnsi="Arial" w:cs="Arial"/>
          <w:b/>
          <w:sz w:val="12"/>
          <w:szCs w:val="16"/>
          <w:lang w:eastAsia="ar-SA"/>
        </w:rPr>
      </w:pPr>
      <w:r>
        <w:rPr>
          <w:rFonts w:ascii="Arial" w:eastAsia="Batang" w:hAnsi="Arial" w:cs="Arial"/>
          <w:b/>
          <w:sz w:val="12"/>
          <w:szCs w:val="16"/>
          <w:lang w:eastAsia="ar-SA"/>
        </w:rPr>
        <w:t>(Pełnomocnik Kierownika Zamawiającego)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7"/>
      <w:footerReference w:type="default" r:id="rId1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A7A8F" w14:textId="77777777" w:rsidR="00BB7ACF" w:rsidRDefault="00BB7ACF" w:rsidP="004262EB">
      <w:pPr>
        <w:spacing w:after="0" w:line="240" w:lineRule="auto"/>
      </w:pPr>
      <w:r>
        <w:separator/>
      </w:r>
    </w:p>
  </w:endnote>
  <w:endnote w:type="continuationSeparator" w:id="0">
    <w:p w14:paraId="5EB1F371" w14:textId="77777777" w:rsidR="00BB7ACF" w:rsidRDefault="00BB7ACF" w:rsidP="004262EB">
      <w:pPr>
        <w:spacing w:after="0" w:line="240" w:lineRule="auto"/>
      </w:pPr>
      <w:r>
        <w:continuationSeparator/>
      </w:r>
    </w:p>
  </w:endnote>
  <w:endnote w:type="continuationNotice" w:id="1">
    <w:p w14:paraId="69731C9E" w14:textId="77777777" w:rsidR="00BB7ACF" w:rsidRDefault="00BB7A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079E4D5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FFE37" w14:textId="77777777" w:rsidR="00BB7ACF" w:rsidRDefault="00BB7ACF" w:rsidP="004262EB">
      <w:pPr>
        <w:spacing w:after="0" w:line="240" w:lineRule="auto"/>
      </w:pPr>
      <w:r>
        <w:separator/>
      </w:r>
    </w:p>
  </w:footnote>
  <w:footnote w:type="continuationSeparator" w:id="0">
    <w:p w14:paraId="30092069" w14:textId="77777777" w:rsidR="00BB7ACF" w:rsidRDefault="00BB7ACF" w:rsidP="004262EB">
      <w:pPr>
        <w:spacing w:after="0" w:line="240" w:lineRule="auto"/>
      </w:pPr>
      <w:r>
        <w:continuationSeparator/>
      </w:r>
    </w:p>
  </w:footnote>
  <w:footnote w:type="continuationNotice" w:id="1">
    <w:p w14:paraId="076E4B5C" w14:textId="77777777" w:rsidR="00BB7ACF" w:rsidRDefault="00BB7ACF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37720A"/>
    <w:multiLevelType w:val="hybridMultilevel"/>
    <w:tmpl w:val="DD2446B0"/>
    <w:lvl w:ilvl="0" w:tplc="217E61A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25275"/>
    <w:multiLevelType w:val="hybridMultilevel"/>
    <w:tmpl w:val="D5164E12"/>
    <w:lvl w:ilvl="0" w:tplc="77E06D9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37346"/>
    <w:multiLevelType w:val="hybridMultilevel"/>
    <w:tmpl w:val="F9804840"/>
    <w:lvl w:ilvl="0" w:tplc="38486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9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1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4"/>
  </w:num>
  <w:num w:numId="2" w16cid:durableId="81877638">
    <w:abstractNumId w:val="1"/>
  </w:num>
  <w:num w:numId="3" w16cid:durableId="264465608">
    <w:abstractNumId w:val="7"/>
  </w:num>
  <w:num w:numId="4" w16cid:durableId="537936068">
    <w:abstractNumId w:val="48"/>
  </w:num>
  <w:num w:numId="5" w16cid:durableId="492835896">
    <w:abstractNumId w:val="16"/>
  </w:num>
  <w:num w:numId="6" w16cid:durableId="1262564553">
    <w:abstractNumId w:val="33"/>
  </w:num>
  <w:num w:numId="7" w16cid:durableId="685524919">
    <w:abstractNumId w:val="9"/>
  </w:num>
  <w:num w:numId="8" w16cid:durableId="1361317165">
    <w:abstractNumId w:val="3"/>
  </w:num>
  <w:num w:numId="9" w16cid:durableId="826672807">
    <w:abstractNumId w:val="43"/>
  </w:num>
  <w:num w:numId="10" w16cid:durableId="1306397553">
    <w:abstractNumId w:val="31"/>
  </w:num>
  <w:num w:numId="11" w16cid:durableId="1896039644">
    <w:abstractNumId w:val="23"/>
  </w:num>
  <w:num w:numId="12" w16cid:durableId="1138063228">
    <w:abstractNumId w:val="53"/>
  </w:num>
  <w:num w:numId="13" w16cid:durableId="1856654415">
    <w:abstractNumId w:val="17"/>
  </w:num>
  <w:num w:numId="14" w16cid:durableId="741756663">
    <w:abstractNumId w:val="42"/>
  </w:num>
  <w:num w:numId="15" w16cid:durableId="1094276855">
    <w:abstractNumId w:val="28"/>
  </w:num>
  <w:num w:numId="16" w16cid:durableId="336035286">
    <w:abstractNumId w:val="38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50"/>
  </w:num>
  <w:num w:numId="21" w16cid:durableId="852719710">
    <w:abstractNumId w:val="2"/>
  </w:num>
  <w:num w:numId="22" w16cid:durableId="871915295">
    <w:abstractNumId w:val="13"/>
  </w:num>
  <w:num w:numId="23" w16cid:durableId="623998105">
    <w:abstractNumId w:val="40"/>
  </w:num>
  <w:num w:numId="24" w16cid:durableId="703094042">
    <w:abstractNumId w:val="18"/>
  </w:num>
  <w:num w:numId="25" w16cid:durableId="20615110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7"/>
  </w:num>
  <w:num w:numId="33" w16cid:durableId="1040861012">
    <w:abstractNumId w:val="45"/>
  </w:num>
  <w:num w:numId="34" w16cid:durableId="181745350">
    <w:abstractNumId w:val="10"/>
  </w:num>
  <w:num w:numId="35" w16cid:durableId="206307801">
    <w:abstractNumId w:val="52"/>
  </w:num>
  <w:num w:numId="36" w16cid:durableId="669720035">
    <w:abstractNumId w:val="4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9"/>
  </w:num>
  <w:num w:numId="40" w16cid:durableId="507915174">
    <w:abstractNumId w:val="39"/>
  </w:num>
  <w:num w:numId="41" w16cid:durableId="737942519">
    <w:abstractNumId w:val="6"/>
  </w:num>
  <w:num w:numId="42" w16cid:durableId="108552835">
    <w:abstractNumId w:val="19"/>
  </w:num>
  <w:num w:numId="43" w16cid:durableId="971862306">
    <w:abstractNumId w:val="46"/>
  </w:num>
  <w:num w:numId="44" w16cid:durableId="1839037261">
    <w:abstractNumId w:val="30"/>
  </w:num>
  <w:num w:numId="45" w16cid:durableId="1822891393">
    <w:abstractNumId w:val="5"/>
  </w:num>
  <w:num w:numId="46" w16cid:durableId="926812056">
    <w:abstractNumId w:val="27"/>
  </w:num>
  <w:num w:numId="47" w16cid:durableId="1698266888">
    <w:abstractNumId w:val="35"/>
  </w:num>
  <w:num w:numId="48" w16cid:durableId="1987396911">
    <w:abstractNumId w:val="41"/>
  </w:num>
  <w:num w:numId="49" w16cid:durableId="1791508770">
    <w:abstractNumId w:val="49"/>
  </w:num>
  <w:num w:numId="50" w16cid:durableId="1733111657">
    <w:abstractNumId w:val="36"/>
  </w:num>
  <w:num w:numId="51" w16cid:durableId="2049447831">
    <w:abstractNumId w:val="32"/>
  </w:num>
  <w:num w:numId="52" w16cid:durableId="1005941066">
    <w:abstractNumId w:val="24"/>
  </w:num>
  <w:num w:numId="53" w16cid:durableId="1787113942">
    <w:abstractNumId w:val="0"/>
  </w:num>
  <w:num w:numId="54" w16cid:durableId="43170513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77F75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2AD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3683"/>
    <w:rsid w:val="001456E9"/>
    <w:rsid w:val="0014650A"/>
    <w:rsid w:val="00147903"/>
    <w:rsid w:val="00151AC2"/>
    <w:rsid w:val="001535F3"/>
    <w:rsid w:val="0015757E"/>
    <w:rsid w:val="00160FFC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451B4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C42CC"/>
    <w:rsid w:val="002D60C6"/>
    <w:rsid w:val="002E3EAE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29D6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0FC0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1C76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A439B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2420E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0C41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5EF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4175"/>
    <w:rsid w:val="00BB7ACF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6BBE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35BE3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k-sa.pl/servlet/HomeServlet?MP_module=demand&amp;MP_action=dealing_parameter_tab&amp;demandIdentity=3716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k-sa.pl/servlet/HomeServlet?MP_module=demand&amp;MP_action=dealing_parameter_tab&amp;demandIdentity=371651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servlet/HomeServlet?MP_module=demand&amp;MP_action=dealing_parameter_tab&amp;demandIdentity=371651" TargetMode="External"/><Relationship Id="rId5" Type="http://schemas.openxmlformats.org/officeDocument/2006/relationships/styles" Target="styles.xml"/><Relationship Id="rId15" Type="http://schemas.openxmlformats.org/officeDocument/2006/relationships/hyperlink" Target="https://platformazakupowa.plk-sa.pl/" TargetMode="Externa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k-sa.pl/servlet/HomeServlet?MP_module=demand&amp;MP_action=dealing_parameter_tab&amp;demandIdentity=37165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2693</Words>
  <Characters>16161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Fiś Ewa</cp:lastModifiedBy>
  <cp:revision>35</cp:revision>
  <cp:lastPrinted>2026-02-26T10:17:00Z</cp:lastPrinted>
  <dcterms:created xsi:type="dcterms:W3CDTF">2024-11-05T07:57:00Z</dcterms:created>
  <dcterms:modified xsi:type="dcterms:W3CDTF">2026-02-26T10:18:00Z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